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125B7" w14:textId="56CD0B87" w:rsidR="007C411E" w:rsidRPr="00B55051" w:rsidRDefault="00B55051" w:rsidP="00B55051">
      <w:pPr>
        <w:pBdr>
          <w:bottom w:val="single" w:sz="12" w:space="1" w:color="auto"/>
        </w:pBdr>
        <w:rPr>
          <w:bCs/>
          <w:color w:val="0070C0"/>
          <w:sz w:val="44"/>
          <w:szCs w:val="44"/>
        </w:rPr>
      </w:pPr>
      <w:r>
        <w:rPr>
          <w:bCs/>
          <w:noProof/>
          <w:color w:val="0070C0"/>
          <w:sz w:val="44"/>
          <w:szCs w:val="44"/>
        </w:rPr>
        <w:drawing>
          <wp:anchor distT="0" distB="0" distL="114300" distR="114300" simplePos="0" relativeHeight="251657216" behindDoc="1" locked="0" layoutInCell="1" allowOverlap="1" wp14:anchorId="0CAE51CA" wp14:editId="1555B1BC">
            <wp:simplePos x="0" y="0"/>
            <wp:positionH relativeFrom="column">
              <wp:posOffset>3810000</wp:posOffset>
            </wp:positionH>
            <wp:positionV relativeFrom="paragraph">
              <wp:posOffset>-654050</wp:posOffset>
            </wp:positionV>
            <wp:extent cx="1676400" cy="1676400"/>
            <wp:effectExtent l="0" t="0" r="0" b="0"/>
            <wp:wrapNone/>
            <wp:docPr id="1684426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26146" name="Picture 1684426146"/>
                    <pic:cNvPicPr/>
                  </pic:nvPicPr>
                  <pic:blipFill>
                    <a:blip r:embed="rId6"/>
                    <a:stretch>
                      <a:fillRect/>
                    </a:stretch>
                  </pic:blipFill>
                  <pic:spPr>
                    <a:xfrm>
                      <a:off x="0" y="0"/>
                      <a:ext cx="1676400" cy="1676400"/>
                    </a:xfrm>
                    <a:prstGeom prst="rect">
                      <a:avLst/>
                    </a:prstGeom>
                  </pic:spPr>
                </pic:pic>
              </a:graphicData>
            </a:graphic>
            <wp14:sizeRelH relativeFrom="margin">
              <wp14:pctWidth>0</wp14:pctWidth>
            </wp14:sizeRelH>
            <wp14:sizeRelV relativeFrom="margin">
              <wp14:pctHeight>0</wp14:pctHeight>
            </wp14:sizeRelV>
          </wp:anchor>
        </w:drawing>
      </w:r>
      <w:r w:rsidRPr="00B55051">
        <w:rPr>
          <w:bCs/>
          <w:color w:val="0070C0"/>
          <w:sz w:val="44"/>
          <w:szCs w:val="44"/>
        </w:rPr>
        <w:t>CAPABILITY STATEMENT</w:t>
      </w:r>
    </w:p>
    <w:p w14:paraId="1840A557" w14:textId="77777777" w:rsidR="007C411E" w:rsidRPr="00901E85" w:rsidRDefault="00000000" w:rsidP="00E755DA">
      <w:pPr>
        <w:rPr>
          <w:b/>
          <w:bCs/>
        </w:rPr>
      </w:pPr>
      <w:r w:rsidRPr="00901E85">
        <w:rPr>
          <w:b/>
          <w:bCs/>
        </w:rPr>
        <w:t>Enterprise Portfolio Governance, PMO Reset, and Transformation Stabilization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2898"/>
      </w:tblGrid>
      <w:tr w:rsidR="00901E85" w14:paraId="2B2F2853" w14:textId="77777777" w:rsidTr="00E755DA">
        <w:tc>
          <w:tcPr>
            <w:tcW w:w="5958" w:type="dxa"/>
          </w:tcPr>
          <w:p w14:paraId="4A7E0DC2" w14:textId="77777777" w:rsidR="00901E85" w:rsidRPr="00901E85" w:rsidRDefault="00901E85" w:rsidP="00901E85">
            <w:pPr>
              <w:rPr>
                <w:color w:val="92D050"/>
                <w:sz w:val="24"/>
                <w:szCs w:val="24"/>
              </w:rPr>
            </w:pPr>
            <w:r w:rsidRPr="00901E85">
              <w:rPr>
                <w:b/>
                <w:color w:val="92D050"/>
                <w:sz w:val="24"/>
                <w:szCs w:val="24"/>
              </w:rPr>
              <w:t>Overview</w:t>
            </w:r>
          </w:p>
          <w:p w14:paraId="590CFAB7" w14:textId="77777777" w:rsidR="00901E85" w:rsidRDefault="00901E85" w:rsidP="00901E85"/>
          <w:p w14:paraId="60E29893" w14:textId="1E9BC623" w:rsidR="00901E85" w:rsidRDefault="00901E85" w:rsidP="00901E85">
            <w:proofErr w:type="spellStart"/>
            <w:r>
              <w:t>StrategyPMO</w:t>
            </w:r>
            <w:proofErr w:type="spellEnd"/>
            <w:r>
              <w:t xml:space="preserve"> is an executive advisory and consulting practice focused on restoring execution discipline in complex enterprise environments. The firm works with leadership teams when important work has become difficult to control, governance is no longer creating enough clarity, and transformation efforts are losing momentum across fragmented teams and priorities.</w:t>
            </w:r>
          </w:p>
          <w:p w14:paraId="79622DA3" w14:textId="77777777" w:rsidR="00901E85" w:rsidRDefault="00901E85" w:rsidP="00901E85">
            <w:pPr>
              <w:rPr>
                <w:b/>
              </w:rPr>
            </w:pPr>
          </w:p>
          <w:p w14:paraId="70043C15" w14:textId="61FB1BB1" w:rsidR="00901E85" w:rsidRPr="00901E85" w:rsidRDefault="00901E85" w:rsidP="00901E85">
            <w:pPr>
              <w:rPr>
                <w:b/>
                <w:color w:val="92D050"/>
                <w:sz w:val="24"/>
                <w:szCs w:val="24"/>
              </w:rPr>
            </w:pPr>
            <w:r w:rsidRPr="00901E85">
              <w:rPr>
                <w:b/>
                <w:color w:val="92D050"/>
                <w:sz w:val="24"/>
                <w:szCs w:val="24"/>
              </w:rPr>
              <w:t>Core Capabilities</w:t>
            </w:r>
          </w:p>
          <w:p w14:paraId="6314DE79" w14:textId="77777777" w:rsidR="00901E85" w:rsidRDefault="00901E85" w:rsidP="00901E85"/>
          <w:p w14:paraId="6D81D50E" w14:textId="467DCC56" w:rsidR="00901E85" w:rsidRDefault="00901E85" w:rsidP="00901E85">
            <w:r>
              <w:t>Portfolio Stabilization – Restore control across overloaded or unclear portfolios, improve visibility into execution risk, and reestablish prioritization discipline.</w:t>
            </w:r>
          </w:p>
          <w:p w14:paraId="7CB2254D" w14:textId="77777777" w:rsidR="00901E85" w:rsidRDefault="00901E85" w:rsidP="00901E85"/>
          <w:p w14:paraId="28D77BCA" w14:textId="14CC4CFC" w:rsidR="00901E85" w:rsidRDefault="00901E85" w:rsidP="00901E85">
            <w:r>
              <w:t>PMO and Governance Reset – Redesign governance structures, reporting cadence, escalation paths, and accountability models to support executive decision-making.</w:t>
            </w:r>
          </w:p>
          <w:p w14:paraId="2047D80F" w14:textId="77777777" w:rsidR="00901E85" w:rsidRDefault="00901E85" w:rsidP="00901E85"/>
          <w:p w14:paraId="6DB4B80A" w14:textId="594DFF4B" w:rsidR="00901E85" w:rsidRDefault="00901E85" w:rsidP="00901E85">
            <w:r>
              <w:t>Transformation Stabilization and Recovery – Stabilize high-risk initiatives by improving coordination, strengthening execution discipline, and restoring alignment across workstreams.</w:t>
            </w:r>
          </w:p>
          <w:p w14:paraId="34F75A6A" w14:textId="77777777" w:rsidR="00901E85" w:rsidRDefault="00901E85" w:rsidP="00901E85"/>
          <w:p w14:paraId="490558A9" w14:textId="7F387BEE" w:rsidR="00901E85" w:rsidRDefault="00901E85" w:rsidP="00901E85">
            <w:r>
              <w:t>Executive Decision Support – Improve decision clarity through structured reporting, prioritization frameworks, and governance operating models.</w:t>
            </w:r>
          </w:p>
          <w:p w14:paraId="68F0477D" w14:textId="77777777" w:rsidR="00901E85" w:rsidRDefault="00901E85" w:rsidP="00901E85">
            <w:pPr>
              <w:rPr>
                <w:b/>
              </w:rPr>
            </w:pPr>
          </w:p>
          <w:p w14:paraId="6D271D24" w14:textId="32A7C2FE" w:rsidR="00901E85" w:rsidRPr="00901E85" w:rsidRDefault="00901E85" w:rsidP="00901E85">
            <w:pPr>
              <w:rPr>
                <w:b/>
                <w:color w:val="92D050"/>
                <w:sz w:val="24"/>
                <w:szCs w:val="24"/>
              </w:rPr>
            </w:pPr>
            <w:r w:rsidRPr="00901E85">
              <w:rPr>
                <w:b/>
                <w:color w:val="92D050"/>
                <w:sz w:val="24"/>
                <w:szCs w:val="24"/>
              </w:rPr>
              <w:t>Differentiators</w:t>
            </w:r>
          </w:p>
          <w:p w14:paraId="6A0D8E68" w14:textId="77777777" w:rsidR="00901E85" w:rsidRDefault="00901E85" w:rsidP="00901E85"/>
          <w:p w14:paraId="1095CE70" w14:textId="64F36F9C" w:rsidR="00901E85" w:rsidRDefault="00901E85" w:rsidP="00901E85">
            <w:r>
              <w:t>Executive-Level Focus – Engagements are designed to support senior leadership decision-making, not administrative project tracking.</w:t>
            </w:r>
          </w:p>
          <w:p w14:paraId="0FD57822" w14:textId="77777777" w:rsidR="00901E85" w:rsidRDefault="00901E85" w:rsidP="00901E85"/>
          <w:p w14:paraId="5E1D68F1" w14:textId="10545F37" w:rsidR="00901E85" w:rsidRDefault="00901E85" w:rsidP="00901E85">
            <w:r>
              <w:t>Intervention-Oriented Approach – Focused on restoring control and stabilizing execution in high-risk environments, not maintaining status quo operations.</w:t>
            </w:r>
          </w:p>
          <w:p w14:paraId="232CA262" w14:textId="77777777" w:rsidR="00901E85" w:rsidRDefault="00901E85" w:rsidP="00901E85"/>
          <w:p w14:paraId="294FBF9E" w14:textId="0B6E57D8" w:rsidR="00901E85" w:rsidRDefault="00901E85" w:rsidP="00901E85">
            <w:r>
              <w:t>Cross-Industry Experience – Experience across enterprise technology, fintech, healthcare, insurance, and public sector environments.</w:t>
            </w:r>
          </w:p>
          <w:p w14:paraId="755CAE4C" w14:textId="77777777" w:rsidR="00901E85" w:rsidRDefault="00901E85" w:rsidP="00901E85"/>
          <w:p w14:paraId="7376D09C" w14:textId="025E43D3" w:rsidR="00901E85" w:rsidRDefault="00901E85" w:rsidP="00901E85">
            <w:r>
              <w:t xml:space="preserve">Governance as a Control System – Positions governance as a </w:t>
            </w:r>
            <w:r>
              <w:lastRenderedPageBreak/>
              <w:t>mechanism for enforcing tradeoffs, improving alignment, and sustaining execution reliability.</w:t>
            </w:r>
          </w:p>
          <w:p w14:paraId="6AFC566A" w14:textId="77777777" w:rsidR="00901E85" w:rsidRDefault="00901E85" w:rsidP="00901E85">
            <w:pPr>
              <w:rPr>
                <w:b/>
              </w:rPr>
            </w:pPr>
          </w:p>
          <w:p w14:paraId="302DE410" w14:textId="251D2AB6" w:rsidR="00901E85" w:rsidRPr="00901E85" w:rsidRDefault="00901E85" w:rsidP="00901E85">
            <w:pPr>
              <w:rPr>
                <w:b/>
                <w:color w:val="92D050"/>
                <w:sz w:val="24"/>
                <w:szCs w:val="24"/>
              </w:rPr>
            </w:pPr>
            <w:r w:rsidRPr="00901E85">
              <w:rPr>
                <w:b/>
                <w:color w:val="92D050"/>
                <w:sz w:val="24"/>
                <w:szCs w:val="24"/>
              </w:rPr>
              <w:t>Representative Experience</w:t>
            </w:r>
          </w:p>
          <w:p w14:paraId="32BEA413" w14:textId="77777777" w:rsidR="00901E85" w:rsidRDefault="00901E85" w:rsidP="00901E85"/>
          <w:p w14:paraId="6B930929" w14:textId="6D8C1997" w:rsidR="00901E85" w:rsidRDefault="00901E85" w:rsidP="00901E85">
            <w:r>
              <w:t>Portfolio governance for enterprise fintech environments supporting global product and operational initiatives.</w:t>
            </w:r>
          </w:p>
          <w:p w14:paraId="720C563D" w14:textId="77777777" w:rsidR="00901E85" w:rsidRDefault="00901E85" w:rsidP="00901E85"/>
          <w:p w14:paraId="02D35173" w14:textId="7F977FBC" w:rsidR="00901E85" w:rsidRDefault="00901E85" w:rsidP="00901E85">
            <w:r>
              <w:t>Transformation stabilization in cross-functional enterprise programs with fragmented ownership and delivery risk.</w:t>
            </w:r>
          </w:p>
          <w:p w14:paraId="0D74927C" w14:textId="77777777" w:rsidR="00901E85" w:rsidRDefault="00901E85" w:rsidP="00901E85"/>
          <w:p w14:paraId="7FE85D73" w14:textId="5E55679B" w:rsidR="00901E85" w:rsidRDefault="00901E85" w:rsidP="00901E85">
            <w:r>
              <w:t xml:space="preserve">PMO design and governance implementation in organizations </w:t>
            </w:r>
            <w:proofErr w:type="gramStart"/>
            <w:r>
              <w:t>requiring</w:t>
            </w:r>
            <w:proofErr w:type="gramEnd"/>
            <w:r>
              <w:t xml:space="preserve"> improved execution discipline and visibility.</w:t>
            </w:r>
          </w:p>
          <w:p w14:paraId="267C2781" w14:textId="77777777" w:rsidR="00901E85" w:rsidRDefault="00901E85" w:rsidP="00901E85"/>
          <w:p w14:paraId="1055F939" w14:textId="4C24451C" w:rsidR="00901E85" w:rsidRDefault="00901E85" w:rsidP="00901E85">
            <w:r>
              <w:t xml:space="preserve">Merger and integration readiness </w:t>
            </w:r>
            <w:proofErr w:type="gramStart"/>
            <w:r>
              <w:t>support across</w:t>
            </w:r>
            <w:proofErr w:type="gramEnd"/>
            <w:r>
              <w:t xml:space="preserve"> complex, multi-workstream environments.</w:t>
            </w:r>
          </w:p>
          <w:p w14:paraId="317173EC" w14:textId="77777777" w:rsidR="00901E85" w:rsidRDefault="00901E85" w:rsidP="00901E85"/>
          <w:p w14:paraId="4D46AE3D" w14:textId="04043BA9" w:rsidR="00901E85" w:rsidRDefault="00901E85" w:rsidP="00901E85">
            <w:r>
              <w:t>Cloud transformation governance aligning infrastructure, security, and development teams under unified execution control.</w:t>
            </w:r>
          </w:p>
          <w:p w14:paraId="382B2BC3" w14:textId="77777777" w:rsidR="00901E85" w:rsidRDefault="00901E85" w:rsidP="00901E85">
            <w:pPr>
              <w:rPr>
                <w:b/>
              </w:rPr>
            </w:pPr>
          </w:p>
          <w:p w14:paraId="2B972C48" w14:textId="56A94E3C" w:rsidR="00901E85" w:rsidRDefault="00901E85" w:rsidP="00901E85">
            <w:r>
              <w:rPr>
                <w:b/>
              </w:rPr>
              <w:t>Clients and Environments</w:t>
            </w:r>
          </w:p>
          <w:p w14:paraId="47296196" w14:textId="77777777" w:rsidR="00901E85" w:rsidRDefault="00901E85" w:rsidP="00901E85"/>
          <w:p w14:paraId="618AA2FE" w14:textId="6B3ABB1E" w:rsidR="00901E85" w:rsidRDefault="00901E85" w:rsidP="00901E85">
            <w:r>
              <w:t>Experience includes Fortune 100 and Fortune 500 organizations, regulated industries, enterprise technology environments, financial services, healthcare, and public sector programs.</w:t>
            </w:r>
          </w:p>
          <w:p w14:paraId="50EBE90C" w14:textId="77777777" w:rsidR="00901E85" w:rsidRDefault="00901E85"/>
        </w:tc>
        <w:tc>
          <w:tcPr>
            <w:tcW w:w="2898" w:type="dxa"/>
          </w:tcPr>
          <w:p w14:paraId="4039F0AB" w14:textId="77777777" w:rsidR="00901E85" w:rsidRPr="00901E85" w:rsidRDefault="00901E85">
            <w:pPr>
              <w:rPr>
                <w:b/>
                <w:color w:val="92D050"/>
                <w:sz w:val="24"/>
                <w:szCs w:val="24"/>
              </w:rPr>
            </w:pPr>
            <w:r w:rsidRPr="00901E85">
              <w:rPr>
                <w:b/>
                <w:color w:val="92D050"/>
                <w:sz w:val="24"/>
                <w:szCs w:val="24"/>
              </w:rPr>
              <w:lastRenderedPageBreak/>
              <w:t xml:space="preserve">Code Information </w:t>
            </w:r>
          </w:p>
          <w:p w14:paraId="72F166F9" w14:textId="77777777" w:rsidR="00901E85" w:rsidRDefault="00901E85"/>
          <w:p w14:paraId="06F0620A" w14:textId="77777777" w:rsidR="00901E85" w:rsidRDefault="00901E85">
            <w:r w:rsidRPr="00901E85">
              <w:rPr>
                <w:b/>
                <w:bCs/>
              </w:rPr>
              <w:t>EIN:</w:t>
            </w:r>
            <w:r w:rsidRPr="00901E85">
              <w:t xml:space="preserve"> 39-2278568 </w:t>
            </w:r>
          </w:p>
          <w:p w14:paraId="124D2F15" w14:textId="77777777" w:rsidR="00901E85" w:rsidRDefault="00901E85">
            <w:r w:rsidRPr="00901E85">
              <w:rPr>
                <w:b/>
                <w:bCs/>
              </w:rPr>
              <w:t>DUNS:</w:t>
            </w:r>
            <w:r w:rsidRPr="00901E85">
              <w:t xml:space="preserve"> 139069193 </w:t>
            </w:r>
          </w:p>
          <w:p w14:paraId="361BF08F" w14:textId="77777777" w:rsidR="00901E85" w:rsidRDefault="00901E85"/>
          <w:p w14:paraId="36D88E1F" w14:textId="77777777" w:rsidR="00901E85" w:rsidRPr="00901E85" w:rsidRDefault="00901E85">
            <w:pPr>
              <w:rPr>
                <w:b/>
                <w:color w:val="92D050"/>
                <w:sz w:val="24"/>
                <w:szCs w:val="24"/>
              </w:rPr>
            </w:pPr>
            <w:r w:rsidRPr="00901E85">
              <w:rPr>
                <w:b/>
                <w:color w:val="92D050"/>
                <w:sz w:val="24"/>
                <w:szCs w:val="24"/>
              </w:rPr>
              <w:t xml:space="preserve">Business Info </w:t>
            </w:r>
          </w:p>
          <w:p w14:paraId="681B668B" w14:textId="77777777" w:rsidR="00901E85" w:rsidRDefault="00901E85"/>
          <w:p w14:paraId="0B287C52" w14:textId="77777777" w:rsidR="00901E85" w:rsidRPr="00901E85" w:rsidRDefault="00901E85">
            <w:pPr>
              <w:rPr>
                <w:b/>
                <w:bCs/>
              </w:rPr>
            </w:pPr>
            <w:r w:rsidRPr="00901E85">
              <w:rPr>
                <w:b/>
                <w:bCs/>
              </w:rPr>
              <w:t xml:space="preserve">Business Type: </w:t>
            </w:r>
          </w:p>
          <w:p w14:paraId="50B2A288" w14:textId="77777777" w:rsidR="00901E85" w:rsidRDefault="00901E85">
            <w:r w:rsidRPr="00901E85">
              <w:t xml:space="preserve">Single-Member LLC </w:t>
            </w:r>
          </w:p>
          <w:p w14:paraId="03EABF5A" w14:textId="77777777" w:rsidR="00901E85" w:rsidRDefault="00901E85">
            <w:r w:rsidRPr="00901E85">
              <w:t xml:space="preserve">MBE Certified </w:t>
            </w:r>
          </w:p>
          <w:p w14:paraId="398B5659" w14:textId="77777777" w:rsidR="00901E85" w:rsidRDefault="00901E85"/>
          <w:p w14:paraId="0BF7B28B" w14:textId="77777777" w:rsidR="00901E85" w:rsidRPr="00901E85" w:rsidRDefault="00901E85">
            <w:pPr>
              <w:rPr>
                <w:b/>
                <w:bCs/>
              </w:rPr>
            </w:pPr>
            <w:r w:rsidRPr="00901E85">
              <w:rPr>
                <w:b/>
                <w:bCs/>
              </w:rPr>
              <w:t xml:space="preserve">NAICS Codes: </w:t>
            </w:r>
          </w:p>
          <w:p w14:paraId="006C04DC" w14:textId="77777777" w:rsidR="00901E85" w:rsidRDefault="00901E85">
            <w:r w:rsidRPr="00901E85">
              <w:t xml:space="preserve">541611 </w:t>
            </w:r>
          </w:p>
          <w:p w14:paraId="520C1B66" w14:textId="77777777" w:rsidR="00901E85" w:rsidRDefault="00901E85">
            <w:r w:rsidRPr="00901E85">
              <w:t xml:space="preserve">541618 </w:t>
            </w:r>
          </w:p>
          <w:p w14:paraId="23EBF875" w14:textId="77777777" w:rsidR="00901E85" w:rsidRDefault="00901E85">
            <w:r w:rsidRPr="00901E85">
              <w:t xml:space="preserve">611430 </w:t>
            </w:r>
          </w:p>
          <w:p w14:paraId="676F91C5" w14:textId="77777777" w:rsidR="00901E85" w:rsidRDefault="00901E85"/>
          <w:p w14:paraId="15ED2E4D" w14:textId="77777777" w:rsidR="00901E85" w:rsidRPr="00901E85" w:rsidRDefault="00901E85" w:rsidP="00901E85">
            <w:pPr>
              <w:rPr>
                <w:b/>
                <w:color w:val="92D050"/>
                <w:sz w:val="24"/>
                <w:szCs w:val="24"/>
              </w:rPr>
            </w:pPr>
            <w:r w:rsidRPr="00901E85">
              <w:rPr>
                <w:b/>
                <w:color w:val="92D050"/>
                <w:sz w:val="24"/>
                <w:szCs w:val="24"/>
              </w:rPr>
              <w:t>Contact Information</w:t>
            </w:r>
          </w:p>
          <w:p w14:paraId="7311AE05" w14:textId="77777777" w:rsidR="00901E85" w:rsidRDefault="00901E85" w:rsidP="00901E85"/>
          <w:p w14:paraId="5BAEF672" w14:textId="77777777" w:rsidR="00901E85" w:rsidRPr="00901E85" w:rsidRDefault="00901E85" w:rsidP="00901E85">
            <w:pPr>
              <w:rPr>
                <w:b/>
                <w:bCs/>
              </w:rPr>
            </w:pPr>
            <w:r w:rsidRPr="00901E85">
              <w:rPr>
                <w:b/>
                <w:bCs/>
              </w:rPr>
              <w:t xml:space="preserve">Address: </w:t>
            </w:r>
          </w:p>
          <w:p w14:paraId="5A66125A" w14:textId="360D84C8" w:rsidR="00901E85" w:rsidRDefault="00901E85" w:rsidP="00901E85">
            <w:proofErr w:type="spellStart"/>
            <w:r>
              <w:t>StrategyPMO</w:t>
            </w:r>
            <w:proofErr w:type="spellEnd"/>
          </w:p>
          <w:p w14:paraId="6231557E" w14:textId="68DBFC2C" w:rsidR="00901E85" w:rsidRDefault="00901E85" w:rsidP="00901E85">
            <w:r w:rsidRPr="00901E85">
              <w:t xml:space="preserve">5900 Balcones Drive </w:t>
            </w:r>
          </w:p>
          <w:p w14:paraId="19A9BA10" w14:textId="77777777" w:rsidR="00901E85" w:rsidRDefault="00901E85" w:rsidP="00901E85">
            <w:r w:rsidRPr="00901E85">
              <w:t xml:space="preserve">Suite 100 </w:t>
            </w:r>
          </w:p>
          <w:p w14:paraId="1F53B1E2" w14:textId="77777777" w:rsidR="00901E85" w:rsidRDefault="00901E85" w:rsidP="00901E85">
            <w:r w:rsidRPr="00901E85">
              <w:t>Austin, TX 78731</w:t>
            </w:r>
          </w:p>
          <w:p w14:paraId="47F34BC7" w14:textId="77777777" w:rsidR="00901E85" w:rsidRDefault="00901E85" w:rsidP="00901E85"/>
          <w:p w14:paraId="0D15C98E" w14:textId="77777777" w:rsidR="00901E85" w:rsidRDefault="00901E85" w:rsidP="00901E85">
            <w:r w:rsidRPr="00901E85">
              <w:rPr>
                <w:b/>
                <w:bCs/>
              </w:rPr>
              <w:t>Email:</w:t>
            </w:r>
            <w:r>
              <w:t xml:space="preserve"> info@strategypmo.com</w:t>
            </w:r>
            <w:r>
              <w:br/>
            </w:r>
          </w:p>
          <w:p w14:paraId="3408ACA1" w14:textId="77777777" w:rsidR="00901E85" w:rsidRPr="00901E85" w:rsidRDefault="00901E85" w:rsidP="00901E85">
            <w:pPr>
              <w:rPr>
                <w:b/>
                <w:bCs/>
              </w:rPr>
            </w:pPr>
            <w:r w:rsidRPr="00901E85">
              <w:rPr>
                <w:b/>
                <w:bCs/>
              </w:rPr>
              <w:t xml:space="preserve">Phone: </w:t>
            </w:r>
          </w:p>
          <w:p w14:paraId="47160E46" w14:textId="4DA5E394" w:rsidR="00901E85" w:rsidRDefault="00901E85" w:rsidP="00901E85">
            <w:r>
              <w:t>7</w:t>
            </w:r>
            <w:r>
              <w:t>37</w:t>
            </w:r>
            <w:r>
              <w:t>-</w:t>
            </w:r>
            <w:r>
              <w:t>206</w:t>
            </w:r>
            <w:r>
              <w:t>-</w:t>
            </w:r>
            <w:r>
              <w:t>6544</w:t>
            </w:r>
          </w:p>
          <w:p w14:paraId="794D347E" w14:textId="77777777" w:rsidR="00901E85" w:rsidRDefault="00901E85" w:rsidP="00901E85"/>
          <w:p w14:paraId="374EFAAD" w14:textId="2CEAA4B8" w:rsidR="00901E85" w:rsidRPr="00901E85" w:rsidRDefault="00901E85" w:rsidP="00901E85">
            <w:pPr>
              <w:rPr>
                <w:b/>
                <w:bCs/>
              </w:rPr>
            </w:pPr>
            <w:r w:rsidRPr="00901E85">
              <w:rPr>
                <w:b/>
                <w:bCs/>
              </w:rPr>
              <w:t>Web:</w:t>
            </w:r>
          </w:p>
          <w:p w14:paraId="4FB4FEB8" w14:textId="26187EFC" w:rsidR="00901E85" w:rsidRDefault="00901E85" w:rsidP="00901E85">
            <w:r w:rsidRPr="00901E85">
              <w:t>www.StrategyPMO.com</w:t>
            </w:r>
          </w:p>
          <w:p w14:paraId="3D792FEE" w14:textId="77777777" w:rsidR="00901E85" w:rsidRDefault="00901E85" w:rsidP="00901E85"/>
          <w:p w14:paraId="05586534" w14:textId="776A96D9" w:rsidR="00901E85" w:rsidRDefault="00901E85"/>
        </w:tc>
      </w:tr>
    </w:tbl>
    <w:p w14:paraId="0313B581" w14:textId="77777777" w:rsidR="007C411E" w:rsidRDefault="007C411E"/>
    <w:p w14:paraId="543CC6DF" w14:textId="77777777" w:rsidR="00901E85" w:rsidRDefault="00901E85"/>
    <w:p w14:paraId="65BC8611" w14:textId="77777777" w:rsidR="00901E85" w:rsidRDefault="00901E85"/>
    <w:sectPr w:rsidR="00901E8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31676576">
    <w:abstractNumId w:val="8"/>
  </w:num>
  <w:num w:numId="2" w16cid:durableId="1560287259">
    <w:abstractNumId w:val="6"/>
  </w:num>
  <w:num w:numId="3" w16cid:durableId="922957531">
    <w:abstractNumId w:val="5"/>
  </w:num>
  <w:num w:numId="4" w16cid:durableId="2119182818">
    <w:abstractNumId w:val="4"/>
  </w:num>
  <w:num w:numId="5" w16cid:durableId="1928345888">
    <w:abstractNumId w:val="7"/>
  </w:num>
  <w:num w:numId="6" w16cid:durableId="1898660148">
    <w:abstractNumId w:val="3"/>
  </w:num>
  <w:num w:numId="7" w16cid:durableId="2129396553">
    <w:abstractNumId w:val="2"/>
  </w:num>
  <w:num w:numId="8" w16cid:durableId="879513584">
    <w:abstractNumId w:val="1"/>
  </w:num>
  <w:num w:numId="9" w16cid:durableId="160846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17465"/>
    <w:rsid w:val="00326F90"/>
    <w:rsid w:val="007C411E"/>
    <w:rsid w:val="00901E85"/>
    <w:rsid w:val="00AA1D8D"/>
    <w:rsid w:val="00B47730"/>
    <w:rsid w:val="00B55051"/>
    <w:rsid w:val="00CB0664"/>
    <w:rsid w:val="00E755DA"/>
    <w:rsid w:val="00F86EA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F57F4"/>
  <w14:defaultImageDpi w14:val="300"/>
  <w15:docId w15:val="{ECD112AF-74F1-4098-9C31-6C38B68B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01E85"/>
    <w:rPr>
      <w:color w:val="0000FF" w:themeColor="hyperlink"/>
      <w:u w:val="single"/>
    </w:rPr>
  </w:style>
  <w:style w:type="character" w:styleId="UnresolvedMention">
    <w:name w:val="Unresolved Mention"/>
    <w:basedOn w:val="DefaultParagraphFont"/>
    <w:uiPriority w:val="99"/>
    <w:semiHidden/>
    <w:unhideWhenUsed/>
    <w:rsid w:val="00901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Christopher Gentry</cp:lastModifiedBy>
  <cp:revision>3</cp:revision>
  <dcterms:created xsi:type="dcterms:W3CDTF">2013-12-23T23:15:00Z</dcterms:created>
  <dcterms:modified xsi:type="dcterms:W3CDTF">2026-04-07T20:29:00Z</dcterms:modified>
  <cp:category/>
</cp:coreProperties>
</file>